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90" w:rsidRDefault="00D96B90" w:rsidP="00B50E11">
      <w:pPr>
        <w:spacing w:after="0" w:line="240" w:lineRule="auto"/>
        <w:ind w:left="7788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50E11" w:rsidRDefault="00B50E11" w:rsidP="00B50E11">
      <w:pPr>
        <w:spacing w:after="0" w:line="240" w:lineRule="auto"/>
        <w:ind w:left="7788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1ED7" w:rsidRPr="00BE7E4D" w:rsidRDefault="00061ED7" w:rsidP="00B50E11">
      <w:pPr>
        <w:spacing w:after="0" w:line="240" w:lineRule="auto"/>
        <w:ind w:left="7788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F679E" w:rsidRPr="000F092C" w:rsidRDefault="00AF679E" w:rsidP="007169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E11" w:rsidRPr="006D5CE1" w:rsidRDefault="00B50E11" w:rsidP="006114C0">
      <w:pPr>
        <w:spacing w:after="0" w:line="240" w:lineRule="auto"/>
        <w:rPr>
          <w:rFonts w:ascii="Cambria" w:eastAsia="Times New Roman" w:hAnsi="Cambria" w:cs="Times New Roman"/>
          <w:b/>
          <w:bCs/>
          <w:color w:val="4F81BD"/>
          <w:sz w:val="24"/>
          <w:szCs w:val="24"/>
          <w:lang w:val="uk-UA"/>
        </w:rPr>
      </w:pP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B50E1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6114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2670810</wp:posOffset>
            </wp:positionH>
            <wp:positionV relativeFrom="paragraph">
              <wp:posOffset>223520</wp:posOffset>
            </wp:positionV>
            <wp:extent cx="447675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0E11" w:rsidRPr="006D5CE1" w:rsidRDefault="00B50E11" w:rsidP="00B50E11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color w:val="4F81BD"/>
          <w:sz w:val="24"/>
          <w:szCs w:val="24"/>
          <w:lang w:val="uk-UA"/>
        </w:rPr>
      </w:pPr>
    </w:p>
    <w:p w:rsidR="00B50E11" w:rsidRPr="003C30DA" w:rsidRDefault="00B50E11" w:rsidP="003C30DA">
      <w:pPr>
        <w:spacing w:before="100" w:beforeAutospacing="1" w:after="0" w:line="240" w:lineRule="auto"/>
        <w:ind w:left="3540" w:firstLine="708"/>
        <w:outlineLvl w:val="2"/>
        <w:rPr>
          <w:rFonts w:ascii="Cambria" w:eastAsia="Times New Roman" w:hAnsi="Cambria" w:cs="Times New Roman"/>
          <w:b/>
          <w:bCs/>
          <w:sz w:val="24"/>
          <w:szCs w:val="24"/>
          <w:lang w:val="uk-UA"/>
        </w:rPr>
      </w:pPr>
      <w:r w:rsidRPr="006D5CE1">
        <w:rPr>
          <w:rFonts w:ascii="Cambria" w:eastAsia="Times New Roman" w:hAnsi="Cambria" w:cs="Times New Roman"/>
          <w:b/>
          <w:bCs/>
          <w:sz w:val="24"/>
          <w:szCs w:val="24"/>
          <w:lang w:val="uk-UA" w:eastAsia="ru-RU"/>
        </w:rPr>
        <w:tab/>
      </w:r>
      <w:r w:rsidRPr="006D5CE1">
        <w:rPr>
          <w:rFonts w:ascii="Cambria" w:eastAsia="Times New Roman" w:hAnsi="Cambria" w:cs="Times New Roman"/>
          <w:b/>
          <w:bCs/>
          <w:sz w:val="24"/>
          <w:szCs w:val="24"/>
          <w:lang w:val="uk-UA" w:eastAsia="ru-RU"/>
        </w:rPr>
        <w:tab/>
      </w:r>
      <w:r w:rsidRPr="006D5CE1">
        <w:rPr>
          <w:rFonts w:ascii="Cambria" w:eastAsia="Times New Roman" w:hAnsi="Cambria" w:cs="Times New Roman"/>
          <w:b/>
          <w:bCs/>
          <w:sz w:val="24"/>
          <w:szCs w:val="24"/>
          <w:lang w:val="uk-UA" w:eastAsia="ru-RU"/>
        </w:rPr>
        <w:tab/>
      </w:r>
    </w:p>
    <w:p w:rsidR="00B50E11" w:rsidRPr="00B50E11" w:rsidRDefault="00B50E11" w:rsidP="00B50E11">
      <w:pPr>
        <w:tabs>
          <w:tab w:val="left" w:pos="246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val="uk-UA" w:eastAsia="ru-RU"/>
        </w:rPr>
      </w:pPr>
      <w:r w:rsidRPr="00B50E11">
        <w:rPr>
          <w:rFonts w:ascii="Arial" w:eastAsia="Times New Roman" w:hAnsi="Arial" w:cs="Times New Roman"/>
          <w:b/>
          <w:sz w:val="28"/>
          <w:szCs w:val="20"/>
          <w:lang w:val="uk-UA" w:eastAsia="ru-RU"/>
        </w:rPr>
        <w:t>ШЕПЕТІВСЬКА МІСЬКА РАДА</w:t>
      </w:r>
    </w:p>
    <w:p w:rsidR="00B50E11" w:rsidRPr="00B50E11" w:rsidRDefault="00B50E11" w:rsidP="00B50E11">
      <w:pPr>
        <w:tabs>
          <w:tab w:val="left" w:pos="246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val="uk-UA" w:eastAsia="ru-RU"/>
        </w:rPr>
      </w:pPr>
      <w:r w:rsidRPr="00B50E11">
        <w:rPr>
          <w:rFonts w:ascii="Arial" w:eastAsia="Times New Roman" w:hAnsi="Arial" w:cs="Times New Roman"/>
          <w:b/>
          <w:sz w:val="28"/>
          <w:szCs w:val="20"/>
          <w:lang w:val="uk-UA" w:eastAsia="ru-RU"/>
        </w:rPr>
        <w:t>ХМЕЛЬНИЦЬКОЇ ОБЛАСТІ</w:t>
      </w:r>
    </w:p>
    <w:p w:rsidR="00A74EB1" w:rsidRPr="00E255D5" w:rsidRDefault="00A74EB1" w:rsidP="00B50E11">
      <w:pPr>
        <w:keepNext/>
        <w:tabs>
          <w:tab w:val="left" w:pos="2464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</w:p>
    <w:p w:rsidR="00B50E11" w:rsidRPr="00A74EB1" w:rsidRDefault="00522764" w:rsidP="00B50E11">
      <w:pPr>
        <w:keepNext/>
        <w:tabs>
          <w:tab w:val="left" w:pos="2464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ab/>
      </w:r>
      <w:r w:rsidR="00B50E11" w:rsidRPr="00A74EB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РІШЕННЯ</w:t>
      </w:r>
    </w:p>
    <w:p w:rsidR="00B50E11" w:rsidRPr="00A74EB1" w:rsidRDefault="00E947F8" w:rsidP="00B50E11">
      <w:pPr>
        <w:keepNext/>
        <w:tabs>
          <w:tab w:val="left" w:pos="2464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ХХ </w:t>
      </w:r>
      <w:r w:rsidR="00B50E11" w:rsidRPr="00A74EB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сесії ради  </w:t>
      </w:r>
      <w:r w:rsidR="00B50E11" w:rsidRPr="00A74EB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VII</w:t>
      </w:r>
      <w:r w:rsidR="004B4846" w:rsidRPr="00A74EB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І</w:t>
      </w:r>
      <w:r w:rsidR="00B50E11" w:rsidRPr="00A74EB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скликання</w:t>
      </w:r>
    </w:p>
    <w:p w:rsidR="00B50E11" w:rsidRPr="00A74EB1" w:rsidRDefault="00B50E11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50E11" w:rsidRDefault="00A92C0A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47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 грудня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50E11" w:rsidRPr="00B50E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A56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 w:rsidR="00B50E11" w:rsidRPr="00B50E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="00685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оку</w:t>
      </w:r>
      <w:r w:rsidR="00B50E11" w:rsidRPr="00B50E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№ </w:t>
      </w:r>
      <w:r w:rsidR="00E947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</w:t>
      </w:r>
    </w:p>
    <w:p w:rsidR="00D678A9" w:rsidRPr="00235F24" w:rsidRDefault="00D678A9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0E11" w:rsidRPr="00291E1F" w:rsidRDefault="002F45B0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бюджет</w:t>
      </w:r>
      <w:r w:rsidR="00A92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50E11"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Шепетів</w:t>
      </w:r>
      <w:r w:rsidR="009B0D2D"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</w:t>
      </w:r>
      <w:r w:rsidR="00B50E11"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9B0D2D"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</w:p>
    <w:p w:rsidR="009B0D2D" w:rsidRPr="00291E1F" w:rsidRDefault="009B0D2D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територіальної громади</w:t>
      </w:r>
    </w:p>
    <w:p w:rsidR="00B50E11" w:rsidRPr="00291E1F" w:rsidRDefault="00B50E11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</w:t>
      </w:r>
      <w:r w:rsidR="00442DAA"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A56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291E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</w:t>
      </w:r>
    </w:p>
    <w:p w:rsidR="002F45B0" w:rsidRDefault="002F45B0" w:rsidP="00B50E11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2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0"/>
      </w:tblGrid>
      <w:tr w:rsidR="003D6B8E" w:rsidRPr="00AC3F1E" w:rsidTr="003D6B8E">
        <w:trPr>
          <w:trHeight w:val="409"/>
        </w:trPr>
        <w:tc>
          <w:tcPr>
            <w:tcW w:w="10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D6B8E" w:rsidRPr="003D6B8E" w:rsidRDefault="003D6B8E" w:rsidP="00AF679E">
            <w:pPr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C3F1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22</w:t>
            </w:r>
            <w:r w:rsidR="00AF679E" w:rsidRPr="00C741A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5650</w:t>
            </w:r>
            <w:r w:rsidRPr="00AC3F1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00000</w:t>
            </w:r>
          </w:p>
        </w:tc>
      </w:tr>
    </w:tbl>
    <w:p w:rsidR="002F45B0" w:rsidRDefault="002F45B0" w:rsidP="00B50E11">
      <w:pPr>
        <w:tabs>
          <w:tab w:val="left" w:pos="2464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F45B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(</w:t>
      </w:r>
      <w:r w:rsidRPr="002F45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код бюджету)</w:t>
      </w:r>
    </w:p>
    <w:p w:rsidR="002F45B0" w:rsidRPr="002F45B0" w:rsidRDefault="002F45B0" w:rsidP="00B50E11">
      <w:pPr>
        <w:tabs>
          <w:tab w:val="left" w:pos="2464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250" w:type="dxa"/>
        <w:jc w:val="center"/>
        <w:tblCellSpacing w:w="18" w:type="dxa"/>
        <w:tblInd w:w="3912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250"/>
      </w:tblGrid>
      <w:tr w:rsidR="00B50E11" w:rsidRPr="00772230" w:rsidTr="000714C9">
        <w:trPr>
          <w:tblCellSpacing w:w="18" w:type="dxa"/>
          <w:jc w:val="center"/>
        </w:trPr>
        <w:tc>
          <w:tcPr>
            <w:tcW w:w="4965" w:type="pct"/>
            <w:hideMark/>
          </w:tcPr>
          <w:p w:rsidR="00291E1F" w:rsidRPr="00772230" w:rsidRDefault="00B50E11" w:rsidP="00CF3F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Керуючись ст.75 Бюджетного кодексу України, ст.26 Закону України "Про місцеве самоврядування", міська рада </w:t>
            </w:r>
          </w:p>
          <w:p w:rsidR="002551F3" w:rsidRPr="00772230" w:rsidRDefault="00291E1F" w:rsidP="0029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ВИРІШИЛА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  <w:p w:rsidR="00B50E11" w:rsidRPr="00772230" w:rsidRDefault="00B50E11" w:rsidP="0039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 Визначити на 20</w:t>
            </w:r>
            <w:r w:rsidR="00442DAA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F3A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рік:</w:t>
            </w:r>
          </w:p>
          <w:p w:rsidR="0093726F" w:rsidRPr="00772230" w:rsidRDefault="00291E1F" w:rsidP="009372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- </w:t>
            </w:r>
            <w:r w:rsidR="00C741A6" w:rsidRPr="007722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</w:t>
            </w:r>
            <w:r w:rsidR="0093726F" w:rsidRPr="007722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оходи</w:t>
            </w:r>
            <w:r w:rsidR="0040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D91CCB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595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D5064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="0093726F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сумі  </w:t>
            </w:r>
            <w:r w:rsidR="004002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436 491 864</w:t>
            </w:r>
            <w:r w:rsidR="003952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  <w:r w:rsidR="0093726F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гривень, у тому числі доходи загального фонду </w:t>
            </w:r>
            <w:r w:rsidR="005B7C6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93726F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– </w:t>
            </w:r>
            <w:r w:rsidR="004002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426 620 542</w:t>
            </w:r>
            <w:r w:rsidR="001034C0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531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1034C0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93726F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гривень та доходи спеціального фонду </w:t>
            </w:r>
            <w:r w:rsidR="005B7C6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93726F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– </w:t>
            </w:r>
            <w:r w:rsidR="00782B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4002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871 322</w:t>
            </w:r>
            <w:r w:rsidR="005B7C6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  <w:r w:rsidR="0093726F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гривень згідно з додатком 1 до цього рішення;</w:t>
            </w:r>
          </w:p>
          <w:p w:rsidR="00B50E11" w:rsidRPr="00F8426D" w:rsidRDefault="00291E1F" w:rsidP="003908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-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видатки</w:t>
            </w:r>
            <w:r w:rsidR="00C21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бюджету </w:t>
            </w:r>
            <w:r w:rsidR="00F22907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територіальної громади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сумі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4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91 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864</w:t>
            </w:r>
            <w:r w:rsidR="00522764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9D6E04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522764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0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гривень, у тому числі видатки загального фонду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бюджету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ї територіальної </w:t>
            </w:r>
            <w:proofErr w:type="spellStart"/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громади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</w:t>
            </w:r>
            <w:proofErr w:type="spellEnd"/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  <w:r w:rsidR="00A4318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77AC2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062</w:t>
            </w:r>
            <w:r w:rsidR="006D5CE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9D6E04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6D5CE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7B14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гривень та видатки спеціального фонду 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–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10 078 802</w:t>
            </w:r>
            <w:r w:rsidR="002332B5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  <w:r w:rsidR="007B14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гривень;</w:t>
            </w:r>
          </w:p>
          <w:p w:rsidR="000B6C15" w:rsidRPr="00990918" w:rsidRDefault="00291E1F" w:rsidP="00F815C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 </w:t>
            </w:r>
            <w:r w:rsidR="00BE7E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профіцит за загальним фондом бюджету </w:t>
            </w:r>
            <w:r w:rsidR="00986BC9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міської територіальної 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громади у сумі</w:t>
            </w:r>
          </w:p>
          <w:p w:rsidR="00F815CC" w:rsidRPr="00990918" w:rsidRDefault="00C21610" w:rsidP="000B6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207 48</w:t>
            </w:r>
            <w:r w:rsidR="00F8426D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 гривень, згідно з додатком 2 до цього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рішення;</w:t>
            </w:r>
          </w:p>
          <w:p w:rsidR="00F815CC" w:rsidRPr="00990918" w:rsidRDefault="00291E1F" w:rsidP="00F815C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 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дефіцит за спеціальним фондом бюджету </w:t>
            </w:r>
            <w:r w:rsidR="00986BC9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міської територіальної 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громади у сумі</w:t>
            </w:r>
            <w:r w:rsidR="00F8426D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2</w:t>
            </w:r>
            <w:r w:rsidR="00F8426D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7 480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 гривень, згідно з додатком 2 до цього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F815CC"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рішення;</w:t>
            </w:r>
          </w:p>
          <w:p w:rsidR="00B50E11" w:rsidRPr="00656C6B" w:rsidRDefault="00291E1F" w:rsidP="00E55C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56C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-</w:t>
            </w:r>
            <w:r w:rsidR="00BE7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B50E11" w:rsidRPr="00656C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оборотний залишок бюджетних коштів</w:t>
            </w:r>
            <w:r w:rsidR="001379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B50E11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</w:t>
            </w:r>
            <w:r w:rsidR="00352B29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міської територіальної громади</w:t>
            </w:r>
            <w:r w:rsidR="00B50E11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розмірі </w:t>
            </w:r>
            <w:r w:rsidR="00D678A9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B50E11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0 000,00 гривень, що становить 0,0</w:t>
            </w:r>
            <w:r w:rsidR="00656C6B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50E11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відсотків видатків загального фонду бюджету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3E4454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територіальної громади</w:t>
            </w:r>
            <w:r w:rsidR="00B50E11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визначених цим пунктом;</w:t>
            </w:r>
          </w:p>
          <w:p w:rsidR="0094078C" w:rsidRPr="00772230" w:rsidRDefault="00291E1F" w:rsidP="00E55C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- </w:t>
            </w:r>
            <w:r w:rsidR="00BE7E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резервний фонд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бюджету</w:t>
            </w:r>
            <w:r w:rsidR="00DC45C5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міської територіальної громади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розмірі 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1F2CC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095 059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9D6E04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0 гривень, що становить </w:t>
            </w:r>
            <w:r w:rsidR="00933E5C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5533FE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C216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  <w:r w:rsidR="008502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B50E11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відсотк</w:t>
            </w:r>
            <w:r w:rsidR="00235F24" w:rsidRPr="00656C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видатків загального фонду бюджету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міської територіальної громади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визначених цим пунктом.</w:t>
            </w:r>
          </w:p>
          <w:p w:rsidR="000C3D01" w:rsidRPr="00772230" w:rsidRDefault="000C3D01" w:rsidP="00E55C34">
            <w:pPr>
              <w:pStyle w:val="rtejustify"/>
              <w:shd w:val="clear" w:color="auto" w:fill="FDFDFD"/>
              <w:spacing w:before="0" w:beforeAutospacing="0" w:after="0" w:afterAutospacing="0"/>
              <w:jc w:val="both"/>
              <w:rPr>
                <w:sz w:val="12"/>
                <w:szCs w:val="12"/>
              </w:rPr>
            </w:pPr>
          </w:p>
          <w:p w:rsidR="00B50E11" w:rsidRPr="00F8426D" w:rsidRDefault="00B50E11" w:rsidP="00E5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2.Затвердити </w:t>
            </w:r>
            <w:r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бюджетні призначення</w:t>
            </w:r>
            <w:r w:rsidR="00C21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головним розпорядникам коштів </w:t>
            </w:r>
            <w:r w:rsidR="00442DA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бюджету 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територіальної громади</w:t>
            </w:r>
            <w:r w:rsidR="00201B93" w:rsidRPr="00201B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42DA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202</w:t>
            </w:r>
            <w:r w:rsid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у розрізі відповідальних виконавців за бюджетними програмами згідно з додатк</w:t>
            </w:r>
            <w:r w:rsidR="00E6046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ами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3</w:t>
            </w:r>
            <w:r w:rsidR="003C60A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,4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цього рішення.</w:t>
            </w:r>
          </w:p>
          <w:p w:rsidR="005E36F7" w:rsidRPr="008F3ACF" w:rsidRDefault="005E36F7" w:rsidP="00E5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  <w:lang w:val="uk-UA" w:eastAsia="uk-UA"/>
              </w:rPr>
            </w:pPr>
          </w:p>
          <w:p w:rsidR="00800918" w:rsidRPr="00F8426D" w:rsidRDefault="00B50E11" w:rsidP="00E5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  <w:r w:rsidR="00800918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Затвердити на 202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00918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 </w:t>
            </w:r>
            <w:r w:rsidR="00800918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міжбюджетні трансферти</w:t>
            </w:r>
            <w:r w:rsidR="00800918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згідно з додатком 5 до цього рішення.</w:t>
            </w:r>
          </w:p>
          <w:p w:rsidR="00B50E11" w:rsidRPr="00F8426D" w:rsidRDefault="00B50E11" w:rsidP="00E5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Надати право розпорядженням міського голови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 надходженні </w:t>
            </w:r>
            <w:r w:rsidR="00235F24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або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зменшенні в міжсесійний період трансфертів (дотацій, субвенцій) з Державного </w:t>
            </w:r>
            <w:r w:rsidR="00AD203B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бюджету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обласного бюджет</w:t>
            </w:r>
            <w:r w:rsidR="000C25E5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понад обсяги (менше обсягів), врахова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них в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бюджеті 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територіальної громади</w:t>
            </w:r>
            <w:r w:rsidR="00201B93" w:rsidRPr="00201B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20</w:t>
            </w:r>
            <w:r w:rsidR="00F83A7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F8426D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рік, збільшувати (зменшувати) обсяги доходів та видатків бюджету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суму трансфертів, одержаних з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Державного </w:t>
            </w:r>
            <w:r w:rsidR="00AD203B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бюджету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обласного бюджету та проводити розподіл та перерозподіл зазначених трансфертів</w:t>
            </w:r>
            <w:r w:rsidR="000C25E5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кодами програмної класифікації видатків, </w:t>
            </w:r>
            <w:r w:rsidR="000C25E5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між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головними розпорядниками коштів бюджету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2B29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територіальної громади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 погодженням з постійною депутатською комісією з питань соціально-економічного розвитку </w:t>
            </w:r>
            <w:r w:rsidR="004A2167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громади, бюджету та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фінансів</w:t>
            </w:r>
            <w:r w:rsidR="00F83A7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відповідно до частини 7 статті 108 Бюджетного Кодексу України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50E11" w:rsidRPr="00F8426D" w:rsidRDefault="00B50E11" w:rsidP="00DB01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Зазначені зміни вважати змінами, внесеними до  бюджету </w:t>
            </w:r>
            <w:r w:rsidR="00C420A6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територіальної громади</w:t>
            </w:r>
            <w:r w:rsidR="00201B93" w:rsidRPr="00201B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20</w:t>
            </w:r>
            <w:r w:rsidR="00442DAA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рік.</w:t>
            </w:r>
          </w:p>
          <w:p w:rsidR="00B50E11" w:rsidRPr="00711216" w:rsidRDefault="00442DAA" w:rsidP="00DB0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112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 Затвердити на 202</w:t>
            </w:r>
            <w:r w:rsidR="00F8426D" w:rsidRPr="007112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B50E11" w:rsidRPr="007112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 </w:t>
            </w:r>
            <w:r w:rsidR="00711216" w:rsidRPr="007112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обсяги капітальних вкладень у розрізі інвестиційних проектів згідно </w:t>
            </w:r>
            <w:r w:rsidR="00B50E11" w:rsidRPr="007112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 додатком 6 до цього рішення.</w:t>
            </w:r>
          </w:p>
          <w:p w:rsidR="00D94882" w:rsidRPr="008F3ACF" w:rsidRDefault="00D94882" w:rsidP="00DB0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  <w:lang w:val="uk-UA" w:eastAsia="uk-UA"/>
              </w:rPr>
            </w:pPr>
          </w:p>
          <w:p w:rsidR="00B50E11" w:rsidRPr="00772230" w:rsidRDefault="00D72FC5" w:rsidP="00D72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5.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Затвердити </w:t>
            </w:r>
            <w:r w:rsidR="009F05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="008B55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розподіл 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витрат</w:t>
            </w:r>
            <w:r w:rsidR="00C21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</w:t>
            </w:r>
            <w:r w:rsidR="008B5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52B29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бюджету</w:t>
            </w:r>
            <w:r w:rsidR="00C21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</w:t>
            </w:r>
            <w:r w:rsidR="005C11D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міської 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</w:t>
            </w:r>
            <w:r w:rsidR="003F34BB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територіальної 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 </w:t>
            </w:r>
            <w:r w:rsidR="003F34BB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громади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на </w:t>
            </w:r>
            <w:r w:rsidR="009F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реалізацію місцевих/регіональних </w:t>
            </w:r>
            <w:r w:rsidR="008B5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</w:t>
            </w:r>
            <w:r w:rsidR="00B50E11" w:rsidRPr="00F842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програм</w:t>
            </w:r>
            <w:r w:rsidR="00C21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B50E11" w:rsidRPr="00F8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згідно з додатком 7 до цього рішення.</w:t>
            </w:r>
          </w:p>
          <w:p w:rsidR="00DB0125" w:rsidRPr="00772230" w:rsidRDefault="00DB0125" w:rsidP="00DB0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772230" w:rsidRDefault="00B50E11" w:rsidP="00DB0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6. Установити, що у загальному фонді </w:t>
            </w:r>
            <w:r w:rsidR="0056751B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бюджету міської територіальної громади 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20</w:t>
            </w:r>
            <w:r w:rsidR="00442DAA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F3A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рік:</w:t>
            </w:r>
          </w:p>
          <w:p w:rsidR="00B50E11" w:rsidRPr="00772230" w:rsidRDefault="002003B8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д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 доходів загального фонду </w:t>
            </w:r>
            <w:r w:rsidR="004A6BB7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бюджету міської територіальної громади 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належать доходи, визначені статтею</w:t>
            </w:r>
            <w:r w:rsidR="00845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64 Бюджетного кодексу України</w:t>
            </w:r>
            <w:r w:rsidR="003771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та трансферти, визначені ст.97,101 Бюджетного кодексу України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(крім субвенцій, визначених статтею 69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1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частиною першою статті</w:t>
            </w:r>
            <w:r w:rsidR="007C2784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71 Бюджетного кодексу України)</w:t>
            </w:r>
            <w:r w:rsidR="00845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а також такі надходження відповідно до Закону Украї</w:t>
            </w:r>
            <w:r w:rsidR="003771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</w:t>
            </w:r>
            <w:r w:rsidR="00845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«Про Державний бюджет 2022 рік»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50E11" w:rsidRPr="00772230" w:rsidRDefault="00B50E11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36554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д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жерелами формування у частині фінансування є надходження, визначені у частині 1 статті 72 та частині 1 статті 73 </w:t>
            </w:r>
            <w:hyperlink r:id="rId9" w:tgtFrame="_blank" w:history="1">
              <w:r w:rsidRPr="00772230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Бюджетного кодексу України</w:t>
              </w:r>
            </w:hyperlink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50E11" w:rsidRPr="00772230" w:rsidRDefault="00B50E11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536554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)д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жерелами формування у частині кредитування є надходження, визначені статтею 64 </w:t>
            </w:r>
            <w:hyperlink r:id="rId10" w:tgtFrame="_blank" w:history="1">
              <w:r w:rsidRPr="00772230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Бюджетного кодексу України</w:t>
              </w:r>
            </w:hyperlink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737A1F" w:rsidRPr="00772230" w:rsidRDefault="00737A1F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772230" w:rsidRDefault="00B50E11" w:rsidP="00DB0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7. Установити, що джерелами формування спеціального фонду </w:t>
            </w:r>
            <w:r w:rsidR="007F6CFE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бюджету міської територіальної громади 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20</w:t>
            </w:r>
            <w:r w:rsidR="00442DAA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F3A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рік:</w:t>
            </w:r>
          </w:p>
          <w:p w:rsidR="00B50E11" w:rsidRPr="00772230" w:rsidRDefault="00B50E11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536554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)у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частині доходів є надходження, визначені статт</w:t>
            </w:r>
            <w:r w:rsidR="00EE55D7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ями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69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1</w:t>
            </w:r>
            <w:r w:rsidR="002F2E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,</w:t>
            </w:r>
            <w:r w:rsidR="00EE55D7" w:rsidRPr="007722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 xml:space="preserve"> </w:t>
            </w:r>
            <w:r w:rsidR="00EE55D7" w:rsidRPr="00772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71 </w:t>
            </w:r>
            <w:hyperlink r:id="rId11" w:tgtFrame="_blank" w:history="1">
              <w:r w:rsidRPr="00772230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Бюджетного кодексу України</w:t>
              </w:r>
            </w:hyperlink>
            <w:r w:rsidR="00EE55D7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 також такі надходження відповідно до Закону України “Про Державний бюджет України 20</w:t>
            </w:r>
            <w:r w:rsidR="00041F24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E55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рік ”;</w:t>
            </w:r>
          </w:p>
          <w:p w:rsidR="00B50E11" w:rsidRPr="00772230" w:rsidRDefault="002936CF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2)у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частині фінансування є надходження, визначені у частині 2 статті 72 та частині 1 статті 73 </w:t>
            </w:r>
            <w:hyperlink r:id="rId12" w:tgtFrame="_blank" w:history="1">
              <w:r w:rsidR="00B50E11" w:rsidRPr="00772230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Бюджетного кодексу України</w:t>
              </w:r>
            </w:hyperlink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50E11" w:rsidRPr="00772230" w:rsidRDefault="002936CF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3)у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частині кредитування є надходження, визначені пунктом 11 частини першої статті 69</w:t>
            </w:r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1</w:t>
            </w:r>
            <w:hyperlink r:id="rId13" w:tgtFrame="_blank" w:history="1">
              <w:r w:rsidR="00B50E11" w:rsidRPr="00772230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Бюджетного кодексу України</w:t>
              </w:r>
            </w:hyperlink>
            <w:r w:rsidR="00B50E11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737A1F" w:rsidRPr="00772230" w:rsidRDefault="00737A1F" w:rsidP="003908D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772230" w:rsidRDefault="00B50E11" w:rsidP="00E5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8. Установити, що у 20</w:t>
            </w:r>
            <w:r w:rsidR="00442DAA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E55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році кошти, отримані до спеціального фонду </w:t>
            </w:r>
            <w:r w:rsidR="000F25FB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згідно з відповідними пунктами частини 1 статті 71 Бюджетного кодексу України, спрямовуються на реалізацію заходів, визначених частиною 2 статті 71 Бюджетного кодексу України</w:t>
            </w:r>
            <w:r w:rsidR="00D04E16"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737A1F" w:rsidRPr="00772230" w:rsidRDefault="00737A1F" w:rsidP="00DB0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F83A7A" w:rsidRPr="00E55C34" w:rsidRDefault="00F83A7A" w:rsidP="00F8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7722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9. 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Визначити на 31 грудня 202</w:t>
            </w:r>
            <w:r w:rsidR="00F8426D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року граничний обсяг  боргу </w:t>
            </w:r>
            <w:r w:rsidR="000F25FB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r w:rsidRPr="00990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сумі 9 503 800,00 грн.</w:t>
            </w:r>
          </w:p>
          <w:p w:rsidR="00737A1F" w:rsidRPr="00E55C34" w:rsidRDefault="00737A1F" w:rsidP="00F8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  <w:lang w:val="uk-UA" w:eastAsia="uk-UA"/>
              </w:rPr>
            </w:pPr>
          </w:p>
          <w:p w:rsidR="00B50E11" w:rsidRPr="000F260C" w:rsidRDefault="00F83A7A" w:rsidP="00BE0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.Визначити на 20</w:t>
            </w:r>
            <w:r w:rsidR="00442DAA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8426D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рік</w:t>
            </w:r>
            <w:r w:rsidR="006B3CA4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відповідно до статті 55 Бюджетного кодексу України захищеними видатками </w:t>
            </w:r>
            <w:r w:rsidR="000F25FB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6B3CA4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видатки загального фонду на: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оплата праці працівників бюджетних установ;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нарахування на заробітну плату </w:t>
            </w:r>
            <w:r w:rsidR="00F83A7A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придбання медикаментів та </w:t>
            </w:r>
            <w:proofErr w:type="spellStart"/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</w:t>
            </w:r>
            <w:proofErr w:type="spellEnd"/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язувальних</w:t>
            </w:r>
            <w:proofErr w:type="spellEnd"/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матеріалів;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забезпечення продуктами харчування;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оплата кому</w:t>
            </w:r>
            <w:r w:rsidR="00BE00E5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нальних послуг та енергоносіїв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6A5463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соціальне забезпечення;</w:t>
            </w:r>
          </w:p>
          <w:p w:rsidR="00B50E11" w:rsidRPr="000F260C" w:rsidRDefault="00B50E11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поточні трансферти місцевим бюджетам.</w:t>
            </w:r>
          </w:p>
          <w:p w:rsidR="009409BF" w:rsidRPr="000F260C" w:rsidRDefault="009409BF" w:rsidP="003908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</w:p>
          <w:p w:rsidR="00B50E11" w:rsidRPr="000F260C" w:rsidRDefault="00B50E11" w:rsidP="00B5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E00E5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.Відповідно до пункту 8 статті 16 Бюджетного кодексу України надати право </w:t>
            </w:r>
            <w:r w:rsidR="005D2AB4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кер</w:t>
            </w:r>
            <w:r w:rsidR="00BE3EA2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5D2AB4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внику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фінансово</w:t>
            </w:r>
            <w:r w:rsidR="005D2AB4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управління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міської </w:t>
            </w:r>
            <w:r w:rsidR="00315398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ради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межах поточного бюджетного періоду здійснювати на конкурсних засадах розміщення тимчасово вільних коштів </w:t>
            </w:r>
            <w:r w:rsidR="0080059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міської </w:t>
            </w:r>
            <w:r w:rsidR="003F34BB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територіальної громади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депозитах, з подальшим поверненням таких коштів до кінця поточного бюджетного періоду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E1523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</w:t>
            </w:r>
            <w:r w:rsidR="00AA54FF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інформуванням </w:t>
            </w:r>
            <w:r w:rsidR="008C102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</w:t>
            </w:r>
            <w:r w:rsidR="009409BF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="008C102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депутатськ</w:t>
            </w:r>
            <w:r w:rsidR="009409BF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="008C102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комісі</w:t>
            </w:r>
            <w:r w:rsidR="009409BF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</w:t>
            </w:r>
            <w:r w:rsidR="008C102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питань соціально-економічного розвитку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C102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громади, бюджету та  фінансів</w:t>
            </w:r>
            <w:r w:rsidR="00AA54FF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 отриманий дохід </w:t>
            </w:r>
            <w:r w:rsidR="00127385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 розміщених коштів на депозиті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A9402C" w:rsidRPr="000F260C" w:rsidRDefault="00A9402C" w:rsidP="00390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E00E5" w:rsidRPr="000F260C" w:rsidRDefault="00B50E11" w:rsidP="00BE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E00E5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8B55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Відповідно до статті 43 та статті 73 Бюджетного кодексу України надати право фінансовому управлінню міської ради укладати угоди на договірних умовах з </w:t>
            </w:r>
            <w:proofErr w:type="spellStart"/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Шепетівським</w:t>
            </w:r>
            <w:proofErr w:type="spellEnd"/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управлінням Державної казначейської служби України Хмельницької області на отримання з єдиного казначейського рахунку короткострокових позик на покриття тимчасових касових розривів міського бюджету пов</w:t>
            </w:r>
            <w:r w:rsidR="0080059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’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язаних із забезпеченням фінансування захищених статей видатків загального фонду без нарахування відсотків за користування цими коштами з обов</w:t>
            </w:r>
            <w:r w:rsidR="0080059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’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язковим їх поверненням до кінц</w:t>
            </w:r>
            <w:r w:rsidR="00B72A2D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 поточного бюджетного періоду.</w:t>
            </w:r>
          </w:p>
          <w:p w:rsidR="00B72A2D" w:rsidRPr="000F260C" w:rsidRDefault="00B72A2D" w:rsidP="00BE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0F260C" w:rsidRDefault="00B50E11" w:rsidP="00BE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Згідно з частиною другою статті 78 Бюджетного кодексу України надати право при виконанні </w:t>
            </w:r>
            <w:r w:rsidR="00AE40F2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здійснювати обслуговування бюджетних коштів у частині бюджету розвитку та власних надходжень бюджетних установ установами банків державного сектору відповідно до порядку, визначеного Кабінетом Міністрів України.</w:t>
            </w:r>
          </w:p>
          <w:p w:rsidR="00B72A2D" w:rsidRPr="000F260C" w:rsidRDefault="00B72A2D" w:rsidP="008B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0F260C" w:rsidRDefault="00902C63" w:rsidP="008B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8B55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Головним розпорядникам коштів </w:t>
            </w:r>
            <w:r w:rsidR="00AE40F2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забезпечити виконання норм Бюджетного кодексу України</w:t>
            </w:r>
            <w:r w:rsidR="00FC560B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стосовно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  <w:p w:rsidR="00B50E11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.1. затвердження паспортів бюджетних програм протягом 45 днів з дня набрання чинності цим рішенням;</w:t>
            </w:r>
          </w:p>
          <w:p w:rsidR="00B50E11" w:rsidRPr="000F260C" w:rsidRDefault="00902C63" w:rsidP="008B5592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14.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  <w:r w:rsidR="008B55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здійснення управління бюджетними коштами у межах встановлених їм бюджетних повноважень та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оцінки ефективності бюджетних програм, забезпечуючи </w:t>
            </w:r>
            <w:r w:rsidR="008B55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      </w:r>
          </w:p>
          <w:p w:rsidR="00B50E11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.3. забезпечення доступності інформації про бюджет відповідно до законодавства, а саме:</w:t>
            </w:r>
          </w:p>
          <w:p w:rsidR="00B50E11" w:rsidRPr="000F260C" w:rsidRDefault="004E626F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здійснення публічного представлення та публікації інформації про бюджет за бюджетними програмами та показниками, бюджетні призначення </w:t>
            </w:r>
            <w:r w:rsidR="00711216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щодо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яких визначені цим </w:t>
            </w:r>
            <w:proofErr w:type="gramStart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proofErr w:type="gramEnd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ішенням, відповідно до вимог та за формою, встановленими Міністерством фінансів України, до 15 березня 20</w:t>
            </w:r>
            <w:r w:rsidR="00FC560B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352672" w:rsidRPr="0035267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року; </w:t>
            </w:r>
          </w:p>
          <w:p w:rsidR="00B50E11" w:rsidRPr="000F260C" w:rsidRDefault="004E626F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оприлюднення паспортів бюджетних програм у триденний строк з дня затвердження таких документі</w:t>
            </w:r>
            <w:proofErr w:type="gramStart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proofErr w:type="gramEnd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0F260C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.4.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</w:t>
            </w:r>
            <w:r w:rsidR="000F260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забезпечити в повному обсязі проведення розрахунків </w:t>
            </w:r>
          </w:p>
          <w:p w:rsid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електричну та теплову енергію, водопостачання, водовідведення, природний газ</w:t>
            </w:r>
            <w:r w:rsidR="000F260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інші енергоносії, комунальні послуги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послуги зв’язку, які споживаються бюджетними установами</w:t>
            </w:r>
            <w:r w:rsidR="000F260C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та укладення договорів за кожним видом відповідних послуг у межах бюджетних асигнувань затверджених у кошторисі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</w:p>
          <w:p w:rsidR="00031250" w:rsidRPr="00031250" w:rsidRDefault="00031250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 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межах загального обсягу бюджетних призначень за кодами програмної класифікації видатків та кредитування місцевих бюджетів окремо за загальним та спеціальним фондами </w:t>
            </w:r>
            <w:r w:rsidR="00794C52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фінансове управління міської ради за обґрунтованим поданням головного розпорядника бюджетних коштів здійснює перерозподіл бюджетних асигнувань, затверджених у розписі бюджету та кошторисі, в розрізі економічної класифікації видатків бюджету.</w:t>
            </w:r>
          </w:p>
          <w:p w:rsidR="00B50E11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межах загального обсягу бюджетних призначень головного розпорядника бюджетних коштів перерозподіл видатків за кодами програмної класифікації видатків та кредитування місцевих бюджетів, а також збільшення видатків розвитку за рахунок зменшення інших видатків (окремо за загальним та спеціальним фондами бюджету) здійснюються за рішенням сесії міської ради.</w:t>
            </w:r>
          </w:p>
          <w:p w:rsidR="00B72A2D" w:rsidRPr="000F260C" w:rsidRDefault="00B72A2D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6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.</w:t>
            </w:r>
            <w:r w:rsidR="00553E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</w:t>
            </w:r>
            <w:r w:rsidR="009133A8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Відповідно до </w:t>
            </w:r>
            <w:r w:rsidR="00E575E9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статті </w:t>
            </w:r>
            <w:r w:rsidR="009133A8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48 Бюджетного кодексу України р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озпорядники бюджетних коштів беруть бюджетні зобов’язання та здійснюють платежі тільки в межах бюджетних асигнувань, встановлених кошторисами, враховуючи необхідність виконання бюджетних зобов’язань минулих років, узятих на облік органами Казначейства України.</w:t>
            </w:r>
          </w:p>
          <w:p w:rsidR="00B50E11" w:rsidRPr="000F260C" w:rsidRDefault="00B50E11" w:rsidP="003908DD">
            <w:pPr>
              <w:shd w:val="clear" w:color="auto" w:fill="FDFDF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Розпорядники бюджетних коштів беруть бюджетні зобов'язання за спеціальним фондом бюджету виключно в межах відповідних фактичних надходжень спеціального фонду бюджету. </w:t>
            </w:r>
          </w:p>
          <w:p w:rsidR="00B50E11" w:rsidRPr="000F260C" w:rsidRDefault="00B50E11" w:rsidP="000C3D0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Розміщення замовлення, укладення договору, придбання товару, послуги чи здійснення інших аналогічних операцій протягом бюджетного періоду, за якими розпорядником бюджетних коштів 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взято зобов'язання без відповідних бюджетних асигнувань або з перевищенням повноважень, встановлених Бюджетним кодексом України та цим рішенням, є недійсними. За такими операціями не виникають бюджетні зобов'язання та не утворюється бюджетна заборгованість.</w:t>
            </w:r>
          </w:p>
          <w:p w:rsidR="00B72A2D" w:rsidRPr="000F260C" w:rsidRDefault="00B72A2D" w:rsidP="000C3D0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0F260C" w:rsidRDefault="00B50E11" w:rsidP="00390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1</w:t>
            </w:r>
            <w:r w:rsidR="00902C63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. Розпорядникам та одержувачам коштів </w:t>
            </w:r>
            <w:r w:rsidR="00794C52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бюджету міської територіальної громади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під час укладання угод (договорів, контрактів тощо) щодо закупівлі товарів, робіт і послуг за бюджетні кошти однією з умов за угодами передбачити застосування штрафних санкцій до суб'єктів господарювання за невиконання або несвоєчасне виконання зобов'язань. Кошти, отримані від сплати таких штрафних санкцій, зараховуються до доходів загального фонду бюджету</w:t>
            </w:r>
            <w:r w:rsidR="00B40D00" w:rsidRPr="000F26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міської територіальної громади</w:t>
            </w: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</w:p>
          <w:p w:rsidR="00B72A2D" w:rsidRPr="000F260C" w:rsidRDefault="00B72A2D" w:rsidP="00390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  <w:lang w:eastAsia="uk-UA"/>
              </w:rPr>
            </w:pPr>
          </w:p>
          <w:p w:rsidR="00B50E11" w:rsidRPr="000F260C" w:rsidRDefault="00902C63" w:rsidP="003F0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18</w:t>
            </w:r>
            <w:r w:rsidR="00E75F6A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.</w:t>
            </w:r>
            <w:r w:rsidR="00553E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Управлінню житлово-комунального господарства міської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ради титульні списки та їх уточнення на проведення ремонтів об'єктів благоустрою міста, житлового фонду, а також списків об</w:t>
            </w:r>
            <w:r w:rsidR="00E75F6A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eastAsia="uk-UA"/>
              </w:rPr>
              <w:t>’</w:t>
            </w:r>
            <w:proofErr w:type="spellStart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єктів</w:t>
            </w:r>
            <w:proofErr w:type="spellEnd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по дорожніх ремонтних роботах   погоджувати з постійними комісіями з питань соціально-економічного розвитку </w:t>
            </w:r>
            <w:r w:rsidR="00E11C6B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громади,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бюджету</w:t>
            </w:r>
            <w:r w:rsidR="00E11C6B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та 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фінансів та з питань розвитку промисловості, житлово-комунального господарства, підприємницької діяльності, </w:t>
            </w:r>
            <w:r w:rsidR="000C25E5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т</w:t>
            </w:r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ранспорту, енергетики та </w:t>
            </w:r>
            <w:proofErr w:type="spellStart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зв</w:t>
            </w:r>
            <w:proofErr w:type="spellEnd"/>
            <w:r w:rsidR="006D5330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eastAsia="uk-UA"/>
              </w:rPr>
              <w:t>’</w:t>
            </w:r>
            <w:proofErr w:type="spellStart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язку</w:t>
            </w:r>
            <w:proofErr w:type="spellEnd"/>
            <w:r w:rsidR="00B50E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.</w:t>
            </w:r>
          </w:p>
          <w:p w:rsidR="00FE5EFF" w:rsidRPr="000F260C" w:rsidRDefault="00FE5EFF" w:rsidP="00390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DFDFD"/>
                <w:lang w:val="uk-UA" w:eastAsia="uk-UA"/>
              </w:rPr>
            </w:pPr>
          </w:p>
          <w:p w:rsidR="00FE5EFF" w:rsidRPr="000F260C" w:rsidRDefault="00FE5EFF" w:rsidP="00390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</w:pPr>
            <w:r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19. Керівники бюджетних установ </w:t>
            </w:r>
            <w:r w:rsidR="002A6912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утримують чисельність працівників та здійснюють факт</w:t>
            </w:r>
            <w:r w:rsidR="005C6B11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ичні видатки на заробітну плату, включаючи видатки на премії та інші види заохочень чи винагород, матеріальну допомогу лише в межах </w:t>
            </w:r>
            <w:r w:rsidR="00962522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фонду </w:t>
            </w:r>
            <w:r w:rsidR="00AB3734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заробітної плати, затвердженого для бюджетних установ в кошторисах</w:t>
            </w:r>
            <w:r w:rsidR="00540C4F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, </w:t>
            </w:r>
            <w:r w:rsidR="00962522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відповідно до ст</w:t>
            </w:r>
            <w:r w:rsidR="00B2057C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атті </w:t>
            </w:r>
            <w:r w:rsidR="00962522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5</w:t>
            </w:r>
            <w:r w:rsidR="00540C4F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>1</w:t>
            </w:r>
            <w:r w:rsidR="00962522" w:rsidRPr="000F26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DFD"/>
                <w:lang w:val="uk-UA" w:eastAsia="uk-UA"/>
              </w:rPr>
              <w:t xml:space="preserve"> Бюджетного кодексу України.</w:t>
            </w:r>
          </w:p>
          <w:p w:rsidR="00B72A2D" w:rsidRPr="000F260C" w:rsidRDefault="00B72A2D" w:rsidP="00390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DFDFD"/>
                <w:lang w:val="uk-UA" w:eastAsia="uk-UA"/>
              </w:rPr>
            </w:pPr>
          </w:p>
          <w:p w:rsidR="00B50E11" w:rsidRPr="00593E2B" w:rsidRDefault="00FE5EFF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="00B50E1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Це рішення набирає чинності з 1 січня 20</w:t>
            </w:r>
            <w:r w:rsidR="00FC560B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93E2B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B50E1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року.</w:t>
            </w:r>
          </w:p>
          <w:p w:rsidR="00B72A2D" w:rsidRPr="00593E2B" w:rsidRDefault="00B72A2D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72A2D" w:rsidRPr="00593E2B" w:rsidRDefault="00902C63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E5EFF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50E1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Додатки 1</w:t>
            </w:r>
            <w:r w:rsidR="00FC560B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3C60A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2,</w:t>
            </w:r>
            <w:r w:rsidR="00FC560B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3,</w:t>
            </w:r>
            <w:r w:rsidR="003C60A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4,5,</w:t>
            </w:r>
            <w:r w:rsidR="00FC560B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</w:t>
            </w:r>
            <w:r w:rsidR="00B50E1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 до цього рішення є його невід’ємною частиною.</w:t>
            </w:r>
          </w:p>
          <w:p w:rsidR="005354FC" w:rsidRPr="00593E2B" w:rsidRDefault="005354FC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593E2B" w:rsidRDefault="00B50E11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E5EFF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553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 підлягає о</w:t>
            </w:r>
            <w:r w:rsidR="00EC2D54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публікува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нню в десятиденний строк з дня його прийняття відповідно до част.4 ст</w:t>
            </w:r>
            <w:r w:rsidR="00B2057C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атті 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 Бюджетного кодексу України.</w:t>
            </w:r>
          </w:p>
          <w:p w:rsidR="005354FC" w:rsidRPr="00593E2B" w:rsidRDefault="005354FC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593E2B" w:rsidRDefault="00902C63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E5EFF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B50E1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553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50E11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Відповідальність за виконання рішення покласти на головних розпорядників бюджетних коштів.</w:t>
            </w:r>
          </w:p>
          <w:p w:rsidR="005354FC" w:rsidRPr="00593E2B" w:rsidRDefault="005354FC" w:rsidP="000A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uk-UA"/>
              </w:rPr>
            </w:pPr>
          </w:p>
          <w:p w:rsidR="00B50E11" w:rsidRPr="00772230" w:rsidRDefault="00B50E11" w:rsidP="003908DD">
            <w:pPr>
              <w:tabs>
                <w:tab w:val="left" w:pos="246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BA0473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Контроль за виконанням рішення покласти на постійну депутатську комісію з питань соціа</w:t>
            </w:r>
            <w:r w:rsidR="00F3534F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льно-економічного розвитку</w:t>
            </w:r>
            <w:r w:rsidR="001379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C520D7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громади,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бюджету</w:t>
            </w:r>
            <w:r w:rsidR="00C520D7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фінансів </w:t>
            </w:r>
            <w:r w:rsidR="00C520D7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(голова комісії Олійник Г.В.)</w:t>
            </w:r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начальника фінансового управління </w:t>
            </w:r>
            <w:proofErr w:type="spellStart"/>
            <w:r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Дрища</w:t>
            </w:r>
            <w:proofErr w:type="spellEnd"/>
            <w:r w:rsidR="001D693D" w:rsidRPr="00593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В.О.</w:t>
            </w:r>
          </w:p>
          <w:p w:rsidR="00B50E11" w:rsidRPr="00772230" w:rsidRDefault="00B50E11" w:rsidP="00B50E11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50E11" w:rsidRPr="00772230" w:rsidRDefault="00B50E11" w:rsidP="00B50E11">
            <w:pPr>
              <w:spacing w:before="120" w:after="120" w:line="48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50E11" w:rsidRPr="00B50E11" w:rsidTr="000714C9">
        <w:trPr>
          <w:tblCellSpacing w:w="18" w:type="dxa"/>
          <w:jc w:val="center"/>
        </w:trPr>
        <w:tc>
          <w:tcPr>
            <w:tcW w:w="4965" w:type="pct"/>
          </w:tcPr>
          <w:tbl>
            <w:tblPr>
              <w:tblW w:w="8400" w:type="dxa"/>
              <w:jc w:val="center"/>
              <w:tblCellSpacing w:w="18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3768"/>
              <w:gridCol w:w="1934"/>
              <w:gridCol w:w="2698"/>
            </w:tblGrid>
            <w:tr w:rsidR="00B50E11" w:rsidRPr="00377CC3" w:rsidTr="000714C9">
              <w:trPr>
                <w:tblCellSpacing w:w="18" w:type="dxa"/>
                <w:jc w:val="center"/>
              </w:trPr>
              <w:tc>
                <w:tcPr>
                  <w:tcW w:w="2211" w:type="pct"/>
                </w:tcPr>
                <w:p w:rsidR="00B50E11" w:rsidRPr="00377CC3" w:rsidRDefault="00B50E11" w:rsidP="00B50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377C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lastRenderedPageBreak/>
                    <w:t>Міський голова</w:t>
                  </w:r>
                </w:p>
              </w:tc>
              <w:tc>
                <w:tcPr>
                  <w:tcW w:w="1130" w:type="pct"/>
                </w:tcPr>
                <w:p w:rsidR="00B50E11" w:rsidRPr="00377CC3" w:rsidRDefault="00B50E11" w:rsidP="00446E0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573" w:type="pct"/>
                </w:tcPr>
                <w:p w:rsidR="00B50E11" w:rsidRPr="00446E0A" w:rsidRDefault="00446E0A" w:rsidP="007F3DC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  <w:t>Віталій  БУЗИЛЬ</w:t>
                  </w:r>
                </w:p>
              </w:tc>
            </w:tr>
            <w:tr w:rsidR="00E125C2" w:rsidRPr="00377CC3" w:rsidTr="000714C9">
              <w:trPr>
                <w:tblCellSpacing w:w="18" w:type="dxa"/>
                <w:jc w:val="center"/>
              </w:trPr>
              <w:tc>
                <w:tcPr>
                  <w:tcW w:w="2211" w:type="pct"/>
                </w:tcPr>
                <w:p w:rsidR="00E125C2" w:rsidRDefault="00E125C2" w:rsidP="00B50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</w:p>
                <w:p w:rsidR="00E911AD" w:rsidRDefault="00E911AD" w:rsidP="00B50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</w:p>
                <w:p w:rsidR="00E911AD" w:rsidRDefault="00E911AD" w:rsidP="00B50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</w:p>
                <w:p w:rsidR="00E911AD" w:rsidRDefault="00E911AD" w:rsidP="00B50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</w:p>
                <w:p w:rsidR="00E911AD" w:rsidRPr="00E911AD" w:rsidRDefault="00E911AD" w:rsidP="00B50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130" w:type="pct"/>
                </w:tcPr>
                <w:p w:rsidR="00E125C2" w:rsidRDefault="00E125C2" w:rsidP="00352B2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573" w:type="pct"/>
                </w:tcPr>
                <w:p w:rsidR="00E125C2" w:rsidRPr="00377CC3" w:rsidRDefault="00E125C2" w:rsidP="007F3DC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</w:tbl>
          <w:p w:rsidR="00B50E11" w:rsidRPr="00377CC3" w:rsidRDefault="00B50E11" w:rsidP="00B50E11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10EE1" w:rsidRPr="00F10EE1" w:rsidRDefault="00E911AD" w:rsidP="00E911A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оригіналом:</w:t>
      </w:r>
    </w:p>
    <w:p w:rsidR="00F10EE1" w:rsidRPr="00F10EE1" w:rsidRDefault="00E911AD" w:rsidP="00E911A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міської ради</w:t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10EE1" w:rsidRPr="00F10EE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F10EE1" w:rsidRPr="00F10E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="00F10EE1" w:rsidRPr="00F10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 ВОЗНЮК</w:t>
      </w: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7494B" w:rsidRDefault="00E7494B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7494B" w:rsidRDefault="00E7494B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F092C" w:rsidRPr="000F092C" w:rsidRDefault="000F092C" w:rsidP="000F092C">
      <w:pPr>
        <w:tabs>
          <w:tab w:val="left" w:pos="246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0"/>
          <w:sz w:val="24"/>
          <w:szCs w:val="24"/>
          <w:lang w:val="uk-UA" w:eastAsia="ru-RU"/>
        </w:rPr>
      </w:pPr>
      <w:r w:rsidRPr="000F092C">
        <w:rPr>
          <w:rFonts w:ascii="Times New Roman" w:eastAsia="Times New Roman" w:hAnsi="Times New Roman" w:cs="Times New Roman"/>
          <w:i/>
          <w:spacing w:val="10"/>
          <w:sz w:val="24"/>
          <w:szCs w:val="24"/>
          <w:lang w:val="uk-UA" w:eastAsia="ru-RU"/>
        </w:rPr>
        <w:t>Готував:</w:t>
      </w:r>
    </w:p>
    <w:p w:rsidR="000F092C" w:rsidRPr="000F092C" w:rsidRDefault="006669B8" w:rsidP="000F092C">
      <w:pPr>
        <w:tabs>
          <w:tab w:val="left" w:pos="24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="000F092C"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F092C"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F092C"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="000F092C"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F092C"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F092C"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F092C"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D2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Василь</w:t>
      </w:r>
      <w:r w:rsidR="00AF1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ДРИЩ</w:t>
      </w:r>
    </w:p>
    <w:p w:rsidR="000F092C" w:rsidRPr="000F092C" w:rsidRDefault="000F092C" w:rsidP="000F092C">
      <w:pPr>
        <w:tabs>
          <w:tab w:val="left" w:pos="24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92C" w:rsidRPr="000F092C" w:rsidRDefault="000F092C" w:rsidP="000F092C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092C" w:rsidRPr="000F092C" w:rsidRDefault="000F092C" w:rsidP="000F092C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Погоджено</w:t>
      </w:r>
      <w:proofErr w:type="spellEnd"/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F092C" w:rsidRPr="000F092C" w:rsidRDefault="000F092C" w:rsidP="000F0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92C" w:rsidRPr="000F092C" w:rsidRDefault="000F092C" w:rsidP="000F0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</w:t>
      </w: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відділу правового та </w:t>
      </w:r>
      <w:r w:rsidR="00AF1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0F092C" w:rsidRPr="000F092C" w:rsidRDefault="000F092C" w:rsidP="000F092C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кадрового забезпечення</w:t>
      </w: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1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F1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F1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61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8D11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услан </w:t>
      </w:r>
      <w:r w:rsidR="00861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РАТУШНИЙ</w:t>
      </w:r>
    </w:p>
    <w:p w:rsidR="000F092C" w:rsidRPr="000F092C" w:rsidRDefault="000F092C" w:rsidP="000F092C">
      <w:pPr>
        <w:tabs>
          <w:tab w:val="left" w:pos="2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7358" w:rsidRDefault="000F092C" w:rsidP="000F0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="006141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69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6669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Роман ВОЗНЮК</w:t>
      </w: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87358" w:rsidRDefault="00087358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0E11" w:rsidRPr="00B50E11" w:rsidRDefault="00B50E11" w:rsidP="00B50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0E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textWrapping" w:clear="all"/>
      </w:r>
    </w:p>
    <w:p w:rsidR="00B50E11" w:rsidRPr="00B50E11" w:rsidRDefault="00B50E11">
      <w:pPr>
        <w:rPr>
          <w:lang w:val="uk-UA"/>
        </w:rPr>
      </w:pPr>
    </w:p>
    <w:sectPr w:rsidR="00B50E11" w:rsidRPr="00B50E11" w:rsidSect="00762A6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-425" w:right="851" w:bottom="1134" w:left="1701" w:header="142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64" w:rsidRDefault="004F2964" w:rsidP="00AD203B">
      <w:pPr>
        <w:spacing w:after="0" w:line="240" w:lineRule="auto"/>
      </w:pPr>
      <w:r>
        <w:separator/>
      </w:r>
    </w:p>
  </w:endnote>
  <w:endnote w:type="continuationSeparator" w:id="0">
    <w:p w:rsidR="004F2964" w:rsidRDefault="004F2964" w:rsidP="00AD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7B1" w:rsidRDefault="006167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389200"/>
      <w:docPartObj>
        <w:docPartGallery w:val="Page Numbers (Bottom of Page)"/>
        <w:docPartUnique/>
      </w:docPartObj>
    </w:sdtPr>
    <w:sdtEndPr/>
    <w:sdtContent>
      <w:p w:rsidR="006167B1" w:rsidRDefault="00CE2710">
        <w:pPr>
          <w:pStyle w:val="a8"/>
          <w:jc w:val="right"/>
        </w:pPr>
        <w:r>
          <w:fldChar w:fldCharType="begin"/>
        </w:r>
        <w:r w:rsidR="008B2D9E">
          <w:instrText>PAGE   \* MERGEFORMAT</w:instrText>
        </w:r>
        <w:r>
          <w:fldChar w:fldCharType="separate"/>
        </w:r>
        <w:r w:rsidR="00E911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167B1" w:rsidRDefault="006167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7B1" w:rsidRDefault="006167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64" w:rsidRDefault="004F2964" w:rsidP="00AD203B">
      <w:pPr>
        <w:spacing w:after="0" w:line="240" w:lineRule="auto"/>
      </w:pPr>
      <w:r>
        <w:separator/>
      </w:r>
    </w:p>
  </w:footnote>
  <w:footnote w:type="continuationSeparator" w:id="0">
    <w:p w:rsidR="004F2964" w:rsidRDefault="004F2964" w:rsidP="00AD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7B1" w:rsidRDefault="006167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7B1" w:rsidRDefault="006167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7B1" w:rsidRDefault="006167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E11"/>
    <w:rsid w:val="0002063B"/>
    <w:rsid w:val="00022E16"/>
    <w:rsid w:val="00031250"/>
    <w:rsid w:val="000339F2"/>
    <w:rsid w:val="00040604"/>
    <w:rsid w:val="0004114C"/>
    <w:rsid w:val="00041F24"/>
    <w:rsid w:val="00042FE3"/>
    <w:rsid w:val="000455B6"/>
    <w:rsid w:val="000473FA"/>
    <w:rsid w:val="000612B5"/>
    <w:rsid w:val="00061ED7"/>
    <w:rsid w:val="000714C9"/>
    <w:rsid w:val="000731D1"/>
    <w:rsid w:val="0007395F"/>
    <w:rsid w:val="00087358"/>
    <w:rsid w:val="00087975"/>
    <w:rsid w:val="000A1D62"/>
    <w:rsid w:val="000A2681"/>
    <w:rsid w:val="000B1C42"/>
    <w:rsid w:val="000B52FA"/>
    <w:rsid w:val="000B6C15"/>
    <w:rsid w:val="000C25E5"/>
    <w:rsid w:val="000C359E"/>
    <w:rsid w:val="000C3D01"/>
    <w:rsid w:val="000C4E33"/>
    <w:rsid w:val="000C58F9"/>
    <w:rsid w:val="000C7719"/>
    <w:rsid w:val="000D307E"/>
    <w:rsid w:val="000D7438"/>
    <w:rsid w:val="000E2412"/>
    <w:rsid w:val="000E6254"/>
    <w:rsid w:val="000F092C"/>
    <w:rsid w:val="000F0E9E"/>
    <w:rsid w:val="000F25FB"/>
    <w:rsid w:val="000F260C"/>
    <w:rsid w:val="00102C5D"/>
    <w:rsid w:val="001034C0"/>
    <w:rsid w:val="00106D49"/>
    <w:rsid w:val="001268EE"/>
    <w:rsid w:val="00127385"/>
    <w:rsid w:val="001324C1"/>
    <w:rsid w:val="00132704"/>
    <w:rsid w:val="001379C5"/>
    <w:rsid w:val="00137E25"/>
    <w:rsid w:val="00142ADA"/>
    <w:rsid w:val="00142BF1"/>
    <w:rsid w:val="001554B0"/>
    <w:rsid w:val="0015796E"/>
    <w:rsid w:val="001602A2"/>
    <w:rsid w:val="001641A3"/>
    <w:rsid w:val="001767B7"/>
    <w:rsid w:val="00182DBF"/>
    <w:rsid w:val="00183738"/>
    <w:rsid w:val="00184DAD"/>
    <w:rsid w:val="001975DA"/>
    <w:rsid w:val="001A1EEF"/>
    <w:rsid w:val="001C0389"/>
    <w:rsid w:val="001C3AB8"/>
    <w:rsid w:val="001D5CE5"/>
    <w:rsid w:val="001D693D"/>
    <w:rsid w:val="001E5613"/>
    <w:rsid w:val="001F2CC1"/>
    <w:rsid w:val="002003B8"/>
    <w:rsid w:val="00201B93"/>
    <w:rsid w:val="002020F8"/>
    <w:rsid w:val="002175A1"/>
    <w:rsid w:val="00232440"/>
    <w:rsid w:val="00233152"/>
    <w:rsid w:val="002332B5"/>
    <w:rsid w:val="00234331"/>
    <w:rsid w:val="00235F24"/>
    <w:rsid w:val="002443F2"/>
    <w:rsid w:val="0024490E"/>
    <w:rsid w:val="002459F8"/>
    <w:rsid w:val="00247A9A"/>
    <w:rsid w:val="00252D7C"/>
    <w:rsid w:val="002551F3"/>
    <w:rsid w:val="00256F2D"/>
    <w:rsid w:val="002615D1"/>
    <w:rsid w:val="00267FF8"/>
    <w:rsid w:val="00272DC7"/>
    <w:rsid w:val="00282764"/>
    <w:rsid w:val="00291E1F"/>
    <w:rsid w:val="002933E5"/>
    <w:rsid w:val="002936CF"/>
    <w:rsid w:val="002939B3"/>
    <w:rsid w:val="002966D5"/>
    <w:rsid w:val="002A4921"/>
    <w:rsid w:val="002A6912"/>
    <w:rsid w:val="002B035A"/>
    <w:rsid w:val="002B046A"/>
    <w:rsid w:val="002B104D"/>
    <w:rsid w:val="002B7367"/>
    <w:rsid w:val="002B76C4"/>
    <w:rsid w:val="002D516C"/>
    <w:rsid w:val="002E381D"/>
    <w:rsid w:val="002E7A0D"/>
    <w:rsid w:val="002F2EBB"/>
    <w:rsid w:val="002F3300"/>
    <w:rsid w:val="002F45B0"/>
    <w:rsid w:val="00301E06"/>
    <w:rsid w:val="003152A5"/>
    <w:rsid w:val="00315398"/>
    <w:rsid w:val="00320FA9"/>
    <w:rsid w:val="00321C80"/>
    <w:rsid w:val="00327EA3"/>
    <w:rsid w:val="00334B54"/>
    <w:rsid w:val="00341219"/>
    <w:rsid w:val="0034273D"/>
    <w:rsid w:val="003454C1"/>
    <w:rsid w:val="00352672"/>
    <w:rsid w:val="00352B29"/>
    <w:rsid w:val="003532B7"/>
    <w:rsid w:val="0035488D"/>
    <w:rsid w:val="00354FE0"/>
    <w:rsid w:val="00356A0A"/>
    <w:rsid w:val="00365338"/>
    <w:rsid w:val="00373245"/>
    <w:rsid w:val="00375421"/>
    <w:rsid w:val="003771B8"/>
    <w:rsid w:val="00377CC3"/>
    <w:rsid w:val="00381DF9"/>
    <w:rsid w:val="003908DD"/>
    <w:rsid w:val="00394743"/>
    <w:rsid w:val="003952DB"/>
    <w:rsid w:val="003A75E4"/>
    <w:rsid w:val="003B05A6"/>
    <w:rsid w:val="003B11EA"/>
    <w:rsid w:val="003C007D"/>
    <w:rsid w:val="003C30DA"/>
    <w:rsid w:val="003C60A1"/>
    <w:rsid w:val="003D6B8E"/>
    <w:rsid w:val="003E4454"/>
    <w:rsid w:val="003F03A4"/>
    <w:rsid w:val="003F34BB"/>
    <w:rsid w:val="004002F2"/>
    <w:rsid w:val="0041170E"/>
    <w:rsid w:val="00411AB4"/>
    <w:rsid w:val="00412DF4"/>
    <w:rsid w:val="00426403"/>
    <w:rsid w:val="00433814"/>
    <w:rsid w:val="00442DAA"/>
    <w:rsid w:val="00444B67"/>
    <w:rsid w:val="00446E0A"/>
    <w:rsid w:val="00454E29"/>
    <w:rsid w:val="00463A1B"/>
    <w:rsid w:val="00464FD6"/>
    <w:rsid w:val="00465E8B"/>
    <w:rsid w:val="00466A09"/>
    <w:rsid w:val="00466B5C"/>
    <w:rsid w:val="00471D67"/>
    <w:rsid w:val="0047748D"/>
    <w:rsid w:val="00482719"/>
    <w:rsid w:val="00483DCC"/>
    <w:rsid w:val="00485892"/>
    <w:rsid w:val="00485FED"/>
    <w:rsid w:val="00495869"/>
    <w:rsid w:val="004A2167"/>
    <w:rsid w:val="004A2374"/>
    <w:rsid w:val="004A44B4"/>
    <w:rsid w:val="004A6BB7"/>
    <w:rsid w:val="004A7C20"/>
    <w:rsid w:val="004B4846"/>
    <w:rsid w:val="004B5B3E"/>
    <w:rsid w:val="004C7035"/>
    <w:rsid w:val="004D06DB"/>
    <w:rsid w:val="004D0CD4"/>
    <w:rsid w:val="004D2896"/>
    <w:rsid w:val="004D61FE"/>
    <w:rsid w:val="004E46C6"/>
    <w:rsid w:val="004E626F"/>
    <w:rsid w:val="004E6BB7"/>
    <w:rsid w:val="004F2964"/>
    <w:rsid w:val="0050067E"/>
    <w:rsid w:val="00505274"/>
    <w:rsid w:val="00505645"/>
    <w:rsid w:val="00505D96"/>
    <w:rsid w:val="005109B3"/>
    <w:rsid w:val="005170CC"/>
    <w:rsid w:val="00522764"/>
    <w:rsid w:val="00531DDF"/>
    <w:rsid w:val="005341D0"/>
    <w:rsid w:val="00534E81"/>
    <w:rsid w:val="005354FC"/>
    <w:rsid w:val="00536554"/>
    <w:rsid w:val="00536E7D"/>
    <w:rsid w:val="00540C4F"/>
    <w:rsid w:val="005533FE"/>
    <w:rsid w:val="00553E74"/>
    <w:rsid w:val="005567AA"/>
    <w:rsid w:val="00557CE0"/>
    <w:rsid w:val="0056751B"/>
    <w:rsid w:val="00573A00"/>
    <w:rsid w:val="005745A3"/>
    <w:rsid w:val="00580FAB"/>
    <w:rsid w:val="00584F23"/>
    <w:rsid w:val="005873CB"/>
    <w:rsid w:val="00587A89"/>
    <w:rsid w:val="00593E2B"/>
    <w:rsid w:val="00593F66"/>
    <w:rsid w:val="00595713"/>
    <w:rsid w:val="005A1FC6"/>
    <w:rsid w:val="005A6F04"/>
    <w:rsid w:val="005B2764"/>
    <w:rsid w:val="005B44F1"/>
    <w:rsid w:val="005B7C61"/>
    <w:rsid w:val="005C11D1"/>
    <w:rsid w:val="005C1275"/>
    <w:rsid w:val="005C337F"/>
    <w:rsid w:val="005C6B11"/>
    <w:rsid w:val="005D2AB4"/>
    <w:rsid w:val="005D2B1D"/>
    <w:rsid w:val="005D63CF"/>
    <w:rsid w:val="005E36F7"/>
    <w:rsid w:val="005F68E5"/>
    <w:rsid w:val="00600197"/>
    <w:rsid w:val="006005A0"/>
    <w:rsid w:val="006114C0"/>
    <w:rsid w:val="00612C50"/>
    <w:rsid w:val="0061411D"/>
    <w:rsid w:val="006167B1"/>
    <w:rsid w:val="00621F87"/>
    <w:rsid w:val="0062220A"/>
    <w:rsid w:val="0062325E"/>
    <w:rsid w:val="006270F6"/>
    <w:rsid w:val="00637536"/>
    <w:rsid w:val="00650C4F"/>
    <w:rsid w:val="00651930"/>
    <w:rsid w:val="00656C6B"/>
    <w:rsid w:val="00660165"/>
    <w:rsid w:val="00662F74"/>
    <w:rsid w:val="00664F32"/>
    <w:rsid w:val="00665212"/>
    <w:rsid w:val="006669B8"/>
    <w:rsid w:val="00676203"/>
    <w:rsid w:val="0067758E"/>
    <w:rsid w:val="0068148C"/>
    <w:rsid w:val="00683276"/>
    <w:rsid w:val="00685326"/>
    <w:rsid w:val="0068535F"/>
    <w:rsid w:val="0069608D"/>
    <w:rsid w:val="006A38A0"/>
    <w:rsid w:val="006A5463"/>
    <w:rsid w:val="006A7F70"/>
    <w:rsid w:val="006B18E2"/>
    <w:rsid w:val="006B3CA4"/>
    <w:rsid w:val="006C147D"/>
    <w:rsid w:val="006C5BEC"/>
    <w:rsid w:val="006C78F5"/>
    <w:rsid w:val="006D5330"/>
    <w:rsid w:val="006D5CE1"/>
    <w:rsid w:val="006D7F58"/>
    <w:rsid w:val="006E0F0F"/>
    <w:rsid w:val="006E3C6C"/>
    <w:rsid w:val="006E662E"/>
    <w:rsid w:val="006E7537"/>
    <w:rsid w:val="00701C4E"/>
    <w:rsid w:val="00711216"/>
    <w:rsid w:val="007169BA"/>
    <w:rsid w:val="00717C8E"/>
    <w:rsid w:val="007215CA"/>
    <w:rsid w:val="00727CA3"/>
    <w:rsid w:val="00737A1F"/>
    <w:rsid w:val="00750540"/>
    <w:rsid w:val="00753604"/>
    <w:rsid w:val="00762A6C"/>
    <w:rsid w:val="00764FE0"/>
    <w:rsid w:val="00767E00"/>
    <w:rsid w:val="00772230"/>
    <w:rsid w:val="00782BB1"/>
    <w:rsid w:val="007924F3"/>
    <w:rsid w:val="0079346C"/>
    <w:rsid w:val="00794C52"/>
    <w:rsid w:val="007B1410"/>
    <w:rsid w:val="007B3347"/>
    <w:rsid w:val="007B7C74"/>
    <w:rsid w:val="007B7F6F"/>
    <w:rsid w:val="007C2784"/>
    <w:rsid w:val="007C4050"/>
    <w:rsid w:val="007D08E1"/>
    <w:rsid w:val="007D0BB2"/>
    <w:rsid w:val="007D2BF0"/>
    <w:rsid w:val="007D65B2"/>
    <w:rsid w:val="007E257C"/>
    <w:rsid w:val="007F3DC0"/>
    <w:rsid w:val="007F646B"/>
    <w:rsid w:val="007F6CFE"/>
    <w:rsid w:val="0080059C"/>
    <w:rsid w:val="00800918"/>
    <w:rsid w:val="00812C39"/>
    <w:rsid w:val="008134C5"/>
    <w:rsid w:val="00814CA4"/>
    <w:rsid w:val="008253CF"/>
    <w:rsid w:val="00825D10"/>
    <w:rsid w:val="00826A54"/>
    <w:rsid w:val="008307AB"/>
    <w:rsid w:val="00830F88"/>
    <w:rsid w:val="00834FA6"/>
    <w:rsid w:val="008454D1"/>
    <w:rsid w:val="008479E3"/>
    <w:rsid w:val="0085026B"/>
    <w:rsid w:val="00850691"/>
    <w:rsid w:val="0085404A"/>
    <w:rsid w:val="008540E7"/>
    <w:rsid w:val="00861CD5"/>
    <w:rsid w:val="008626B7"/>
    <w:rsid w:val="008713D3"/>
    <w:rsid w:val="008A32DA"/>
    <w:rsid w:val="008A387A"/>
    <w:rsid w:val="008A3F94"/>
    <w:rsid w:val="008B27DF"/>
    <w:rsid w:val="008B2D9E"/>
    <w:rsid w:val="008B5592"/>
    <w:rsid w:val="008C0899"/>
    <w:rsid w:val="008C102C"/>
    <w:rsid w:val="008D1138"/>
    <w:rsid w:val="008D659B"/>
    <w:rsid w:val="008E7590"/>
    <w:rsid w:val="008F3ACF"/>
    <w:rsid w:val="008F5FDC"/>
    <w:rsid w:val="00901472"/>
    <w:rsid w:val="00902C63"/>
    <w:rsid w:val="00902E3A"/>
    <w:rsid w:val="009070E3"/>
    <w:rsid w:val="00912E42"/>
    <w:rsid w:val="009133A8"/>
    <w:rsid w:val="00914D4A"/>
    <w:rsid w:val="00924F52"/>
    <w:rsid w:val="00932D43"/>
    <w:rsid w:val="00933E5C"/>
    <w:rsid w:val="0093726F"/>
    <w:rsid w:val="0094078C"/>
    <w:rsid w:val="009409BF"/>
    <w:rsid w:val="00944C71"/>
    <w:rsid w:val="00946B0E"/>
    <w:rsid w:val="009620C3"/>
    <w:rsid w:val="00962522"/>
    <w:rsid w:val="00966078"/>
    <w:rsid w:val="00970E11"/>
    <w:rsid w:val="00977788"/>
    <w:rsid w:val="009834AE"/>
    <w:rsid w:val="00985136"/>
    <w:rsid w:val="009869EB"/>
    <w:rsid w:val="00986BC9"/>
    <w:rsid w:val="00990918"/>
    <w:rsid w:val="00994992"/>
    <w:rsid w:val="00997800"/>
    <w:rsid w:val="009A0590"/>
    <w:rsid w:val="009B0D2D"/>
    <w:rsid w:val="009B15F9"/>
    <w:rsid w:val="009D6E04"/>
    <w:rsid w:val="009E702C"/>
    <w:rsid w:val="009F0558"/>
    <w:rsid w:val="009F3F32"/>
    <w:rsid w:val="009F4085"/>
    <w:rsid w:val="00A04E39"/>
    <w:rsid w:val="00A0609F"/>
    <w:rsid w:val="00A213E6"/>
    <w:rsid w:val="00A32C4B"/>
    <w:rsid w:val="00A33B00"/>
    <w:rsid w:val="00A33C13"/>
    <w:rsid w:val="00A4318A"/>
    <w:rsid w:val="00A5287F"/>
    <w:rsid w:val="00A53383"/>
    <w:rsid w:val="00A5614F"/>
    <w:rsid w:val="00A565FB"/>
    <w:rsid w:val="00A645E8"/>
    <w:rsid w:val="00A66AA3"/>
    <w:rsid w:val="00A714C1"/>
    <w:rsid w:val="00A72453"/>
    <w:rsid w:val="00A73EF0"/>
    <w:rsid w:val="00A74EB1"/>
    <w:rsid w:val="00A76611"/>
    <w:rsid w:val="00A76921"/>
    <w:rsid w:val="00A86184"/>
    <w:rsid w:val="00A90843"/>
    <w:rsid w:val="00A92C0A"/>
    <w:rsid w:val="00A9402C"/>
    <w:rsid w:val="00AA54FF"/>
    <w:rsid w:val="00AB2741"/>
    <w:rsid w:val="00AB3734"/>
    <w:rsid w:val="00AB4823"/>
    <w:rsid w:val="00AC24B4"/>
    <w:rsid w:val="00AC3F1E"/>
    <w:rsid w:val="00AC5BC3"/>
    <w:rsid w:val="00AD203B"/>
    <w:rsid w:val="00AE0C80"/>
    <w:rsid w:val="00AE40F2"/>
    <w:rsid w:val="00AF16E9"/>
    <w:rsid w:val="00AF270F"/>
    <w:rsid w:val="00AF288D"/>
    <w:rsid w:val="00AF6693"/>
    <w:rsid w:val="00AF679E"/>
    <w:rsid w:val="00B10209"/>
    <w:rsid w:val="00B11093"/>
    <w:rsid w:val="00B12209"/>
    <w:rsid w:val="00B2057C"/>
    <w:rsid w:val="00B21F9C"/>
    <w:rsid w:val="00B2445B"/>
    <w:rsid w:val="00B34ADF"/>
    <w:rsid w:val="00B40D00"/>
    <w:rsid w:val="00B44120"/>
    <w:rsid w:val="00B50E11"/>
    <w:rsid w:val="00B51F7A"/>
    <w:rsid w:val="00B56E2E"/>
    <w:rsid w:val="00B72A2D"/>
    <w:rsid w:val="00B739EF"/>
    <w:rsid w:val="00B741E9"/>
    <w:rsid w:val="00B76B70"/>
    <w:rsid w:val="00B77AC2"/>
    <w:rsid w:val="00B80C89"/>
    <w:rsid w:val="00B92D05"/>
    <w:rsid w:val="00BA0473"/>
    <w:rsid w:val="00BA071C"/>
    <w:rsid w:val="00BA6B65"/>
    <w:rsid w:val="00BB34C7"/>
    <w:rsid w:val="00BB793B"/>
    <w:rsid w:val="00BC27F4"/>
    <w:rsid w:val="00BC46CF"/>
    <w:rsid w:val="00BD097D"/>
    <w:rsid w:val="00BD5064"/>
    <w:rsid w:val="00BE00E5"/>
    <w:rsid w:val="00BE0907"/>
    <w:rsid w:val="00BE3EA2"/>
    <w:rsid w:val="00BE5854"/>
    <w:rsid w:val="00BE6CB8"/>
    <w:rsid w:val="00BE7E4D"/>
    <w:rsid w:val="00BF355C"/>
    <w:rsid w:val="00C02EA9"/>
    <w:rsid w:val="00C07339"/>
    <w:rsid w:val="00C15FD8"/>
    <w:rsid w:val="00C1720E"/>
    <w:rsid w:val="00C21610"/>
    <w:rsid w:val="00C25AD6"/>
    <w:rsid w:val="00C36768"/>
    <w:rsid w:val="00C420A6"/>
    <w:rsid w:val="00C443CB"/>
    <w:rsid w:val="00C516B6"/>
    <w:rsid w:val="00C520D7"/>
    <w:rsid w:val="00C62623"/>
    <w:rsid w:val="00C63335"/>
    <w:rsid w:val="00C741A6"/>
    <w:rsid w:val="00C8286F"/>
    <w:rsid w:val="00C84D81"/>
    <w:rsid w:val="00C8541C"/>
    <w:rsid w:val="00C9198C"/>
    <w:rsid w:val="00C94D5B"/>
    <w:rsid w:val="00CB1583"/>
    <w:rsid w:val="00CB1A61"/>
    <w:rsid w:val="00CB239B"/>
    <w:rsid w:val="00CB39FC"/>
    <w:rsid w:val="00CC0341"/>
    <w:rsid w:val="00CC3D21"/>
    <w:rsid w:val="00CD14DB"/>
    <w:rsid w:val="00CD3134"/>
    <w:rsid w:val="00CE23A6"/>
    <w:rsid w:val="00CE2710"/>
    <w:rsid w:val="00CE425E"/>
    <w:rsid w:val="00CF1600"/>
    <w:rsid w:val="00CF2EB2"/>
    <w:rsid w:val="00CF3FD7"/>
    <w:rsid w:val="00CF53D7"/>
    <w:rsid w:val="00D04E16"/>
    <w:rsid w:val="00D06740"/>
    <w:rsid w:val="00D106B0"/>
    <w:rsid w:val="00D14B39"/>
    <w:rsid w:val="00D35D2C"/>
    <w:rsid w:val="00D45880"/>
    <w:rsid w:val="00D55995"/>
    <w:rsid w:val="00D64432"/>
    <w:rsid w:val="00D678A9"/>
    <w:rsid w:val="00D72B53"/>
    <w:rsid w:val="00D72FC5"/>
    <w:rsid w:val="00D7321C"/>
    <w:rsid w:val="00D91CCB"/>
    <w:rsid w:val="00D92651"/>
    <w:rsid w:val="00D92947"/>
    <w:rsid w:val="00D94882"/>
    <w:rsid w:val="00D96B90"/>
    <w:rsid w:val="00DA4E13"/>
    <w:rsid w:val="00DA539E"/>
    <w:rsid w:val="00DB0125"/>
    <w:rsid w:val="00DB4468"/>
    <w:rsid w:val="00DB6466"/>
    <w:rsid w:val="00DC2A3B"/>
    <w:rsid w:val="00DC45C5"/>
    <w:rsid w:val="00DD50B4"/>
    <w:rsid w:val="00DE6222"/>
    <w:rsid w:val="00DE74ED"/>
    <w:rsid w:val="00E0230D"/>
    <w:rsid w:val="00E05804"/>
    <w:rsid w:val="00E06C7C"/>
    <w:rsid w:val="00E07FCD"/>
    <w:rsid w:val="00E10EFC"/>
    <w:rsid w:val="00E11C6B"/>
    <w:rsid w:val="00E125C2"/>
    <w:rsid w:val="00E15231"/>
    <w:rsid w:val="00E164C9"/>
    <w:rsid w:val="00E24821"/>
    <w:rsid w:val="00E255D5"/>
    <w:rsid w:val="00E319F1"/>
    <w:rsid w:val="00E40699"/>
    <w:rsid w:val="00E43384"/>
    <w:rsid w:val="00E51170"/>
    <w:rsid w:val="00E55C34"/>
    <w:rsid w:val="00E56762"/>
    <w:rsid w:val="00E575E9"/>
    <w:rsid w:val="00E6046A"/>
    <w:rsid w:val="00E63C52"/>
    <w:rsid w:val="00E6779C"/>
    <w:rsid w:val="00E70312"/>
    <w:rsid w:val="00E7494B"/>
    <w:rsid w:val="00E75F6A"/>
    <w:rsid w:val="00E8157D"/>
    <w:rsid w:val="00E8416E"/>
    <w:rsid w:val="00E856C8"/>
    <w:rsid w:val="00E911AD"/>
    <w:rsid w:val="00E947F8"/>
    <w:rsid w:val="00E963DD"/>
    <w:rsid w:val="00E968A8"/>
    <w:rsid w:val="00EA04B3"/>
    <w:rsid w:val="00EA2797"/>
    <w:rsid w:val="00EB3063"/>
    <w:rsid w:val="00EB6084"/>
    <w:rsid w:val="00EC2D54"/>
    <w:rsid w:val="00EC4AA2"/>
    <w:rsid w:val="00EC65B6"/>
    <w:rsid w:val="00EE0E81"/>
    <w:rsid w:val="00EE55D7"/>
    <w:rsid w:val="00EE5788"/>
    <w:rsid w:val="00EE64F0"/>
    <w:rsid w:val="00EF655C"/>
    <w:rsid w:val="00F06F65"/>
    <w:rsid w:val="00F1051C"/>
    <w:rsid w:val="00F10EE1"/>
    <w:rsid w:val="00F11CA3"/>
    <w:rsid w:val="00F2246F"/>
    <w:rsid w:val="00F2274B"/>
    <w:rsid w:val="00F22907"/>
    <w:rsid w:val="00F251D7"/>
    <w:rsid w:val="00F30EC5"/>
    <w:rsid w:val="00F31A0F"/>
    <w:rsid w:val="00F34062"/>
    <w:rsid w:val="00F34079"/>
    <w:rsid w:val="00F347AD"/>
    <w:rsid w:val="00F3534F"/>
    <w:rsid w:val="00F40B00"/>
    <w:rsid w:val="00F4155E"/>
    <w:rsid w:val="00F41CCB"/>
    <w:rsid w:val="00F42B7A"/>
    <w:rsid w:val="00F46314"/>
    <w:rsid w:val="00F815CC"/>
    <w:rsid w:val="00F83A7A"/>
    <w:rsid w:val="00F8426D"/>
    <w:rsid w:val="00F865EF"/>
    <w:rsid w:val="00FA360E"/>
    <w:rsid w:val="00FB4DA1"/>
    <w:rsid w:val="00FB7529"/>
    <w:rsid w:val="00FC2589"/>
    <w:rsid w:val="00FC560B"/>
    <w:rsid w:val="00FC7D0F"/>
    <w:rsid w:val="00FE5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B2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39B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071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D2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203B"/>
  </w:style>
  <w:style w:type="paragraph" w:styleId="a8">
    <w:name w:val="footer"/>
    <w:basedOn w:val="a"/>
    <w:link w:val="a9"/>
    <w:uiPriority w:val="99"/>
    <w:unhideWhenUsed/>
    <w:rsid w:val="00AD2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203B"/>
  </w:style>
  <w:style w:type="paragraph" w:styleId="aa">
    <w:name w:val="Body Text"/>
    <w:basedOn w:val="a"/>
    <w:link w:val="ab"/>
    <w:rsid w:val="00C8541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C85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B2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akon4.rada.gov.ua/laws/show/2456-17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akon4.rada.gov.ua/laws/show/2456-17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4.rada.gov.ua/laws/show/2456-1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zakon4.rada.gov.ua/laws/show/2456-17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EFBD9-676D-481E-9ABD-26AE8DAF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Balko</dc:creator>
  <cp:lastModifiedBy>Balko</cp:lastModifiedBy>
  <cp:revision>201</cp:revision>
  <cp:lastPrinted>2021-12-24T12:21:00Z</cp:lastPrinted>
  <dcterms:created xsi:type="dcterms:W3CDTF">2020-11-03T11:06:00Z</dcterms:created>
  <dcterms:modified xsi:type="dcterms:W3CDTF">2021-12-24T12:22:00Z</dcterms:modified>
</cp:coreProperties>
</file>